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9AFBD" w14:textId="7F9BFCF9" w:rsidR="004855D5" w:rsidRPr="00A90043" w:rsidRDefault="00A90043" w:rsidP="00A90043">
      <w:pPr>
        <w:jc w:val="center"/>
        <w:rPr>
          <w:b/>
          <w:bCs/>
          <w:sz w:val="40"/>
          <w:szCs w:val="48"/>
        </w:rPr>
      </w:pPr>
      <w:r w:rsidRPr="00A90043">
        <w:rPr>
          <w:b/>
          <w:bCs/>
          <w:sz w:val="40"/>
          <w:szCs w:val="48"/>
        </w:rPr>
        <w:t>AI導入の是非を判断する場合</w:t>
      </w:r>
    </w:p>
    <w:p w14:paraId="28C703D0" w14:textId="574C8F3D" w:rsidR="00A90043" w:rsidRPr="0011758E" w:rsidRDefault="00660618" w:rsidP="00A90043">
      <w:pPr>
        <w:jc w:val="center"/>
        <w:rPr>
          <w:rFonts w:hint="eastAsia"/>
          <w14:textFill>
            <w14:gradFill>
              <w14:gsLst>
                <w14:gs w14:pos="0">
                  <w14:schemeClr w14:val="accent5">
                    <w14:lumMod w14:val="60000"/>
                    <w14:lumOff w14:val="40000"/>
                  </w14:schemeClr>
                </w14:gs>
                <w14:gs w14:pos="50000">
                  <w14:schemeClr w14:val="accent5">
                    <w14:lumMod w14:val="60000"/>
                    <w14:lumOff w14:val="40000"/>
                  </w14:schemeClr>
                </w14:gs>
                <w14:gs w14:pos="100000">
                  <w14:schemeClr w14:val="accent5">
                    <w14:lumMod w14:val="40000"/>
                    <w14:lumOff w14:val="60000"/>
                  </w14:schemeClr>
                </w14:gs>
              </w14:gsLst>
              <w14:lin w14:ang="0" w14:scaled="0"/>
            </w14:gradFill>
          </w14:textFill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1FF6B2" wp14:editId="25F48EE5">
                <wp:simplePos x="0" y="0"/>
                <wp:positionH relativeFrom="column">
                  <wp:posOffset>7810712</wp:posOffset>
                </wp:positionH>
                <wp:positionV relativeFrom="paragraph">
                  <wp:posOffset>3216910</wp:posOffset>
                </wp:positionV>
                <wp:extent cx="1820333" cy="1727200"/>
                <wp:effectExtent l="0" t="0" r="0" b="6350"/>
                <wp:wrapNone/>
                <wp:docPr id="193793155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333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761050" w14:textId="77777777" w:rsidR="00660618" w:rsidRPr="00660618" w:rsidRDefault="00660618" w:rsidP="00660618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rgbClr w14:val="00B0F0"/>
                                </w14:shadow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lumMod w14:val="75000"/>
                                        </w14:schemeClr>
                                      </w14:gs>
                                      <w14:gs w14:pos="5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 w:rsidRPr="00660618"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12700" w14:dist="38100" w14:dir="2700000" w14:sx="100000" w14:sy="100000" w14:kx="0" w14:ky="0" w14:algn="tl">
                                  <w14:srgbClr w14:val="00B0F0"/>
                                </w14:shadow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lumMod w14:val="75000"/>
                                        </w14:schemeClr>
                                      </w14:gs>
                                      <w14:gs w14:pos="5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1FF6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15pt;margin-top:253.3pt;width:143.35pt;height:1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" filled="f" stroked="f">
                <v:fill o:detectmouseclick="t"/>
                <v:textbox inset="5.85pt,.7pt,5.85pt,.7pt">
                  <w:txbxContent>
                    <w:p w14:paraId="7F761050" w14:textId="77777777" w:rsidR="00660618" w:rsidRPr="00660618" w:rsidRDefault="00660618" w:rsidP="00660618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rgbClr w14:val="00B0F0"/>
                          </w14:shadow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lumMod w14:val="75000"/>
                                  </w14:schemeClr>
                                </w14:gs>
                                <w14:gs w14:pos="5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 w:rsidRPr="00660618"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12700" w14:dist="38100" w14:dir="2700000" w14:sx="100000" w14:sy="100000" w14:kx="0" w14:ky="0" w14:algn="tl">
                            <w14:srgbClr w14:val="00B0F0"/>
                          </w14:shadow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lumMod w14:val="75000"/>
                                  </w14:schemeClr>
                                </w14:gs>
                                <w14:gs w14:pos="5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37E4D2" wp14:editId="69FF6170">
                <wp:simplePos x="0" y="0"/>
                <wp:positionH relativeFrom="column">
                  <wp:posOffset>2971165</wp:posOffset>
                </wp:positionH>
                <wp:positionV relativeFrom="paragraph">
                  <wp:posOffset>3216910</wp:posOffset>
                </wp:positionV>
                <wp:extent cx="1820333" cy="1727200"/>
                <wp:effectExtent l="0" t="0" r="0" b="6350"/>
                <wp:wrapNone/>
                <wp:docPr id="101045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333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415E8F" w14:textId="13CE3BEC" w:rsidR="00660618" w:rsidRPr="00660618" w:rsidRDefault="00660618" w:rsidP="00660618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4"/>
                                </w14:shadow>
                                <w14:textOutline w14:w="952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92D050"/>
                                      </w14:gs>
                                      <w14:gs w14:pos="50000">
                                        <w14:schemeClr w14:val="accent6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 w:rsidRPr="00660618"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12700" w14:dist="38100" w14:dir="2700000" w14:sx="100000" w14:sy="100000" w14:kx="0" w14:ky="0" w14:algn="tl">
                                  <w14:schemeClr w14:val="accent4"/>
                                </w14:shadow>
                                <w14:textOutline w14:w="952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92D050"/>
                                      </w14:gs>
                                      <w14:gs w14:pos="50000">
                                        <w14:schemeClr w14:val="accent6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7E4D2" id="_x0000_s1027" type="#_x0000_t202" style="position:absolute;left:0;text-align:left;margin-left:233.95pt;margin-top:253.3pt;width:143.35pt;height:1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" filled="f" stroked="f">
                <v:fill o:detectmouseclick="t"/>
                <v:textbox inset="5.85pt,.7pt,5.85pt,.7pt">
                  <w:txbxContent>
                    <w:p w14:paraId="4F415E8F" w14:textId="13CE3BEC" w:rsidR="00660618" w:rsidRPr="00660618" w:rsidRDefault="00660618" w:rsidP="00660618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4"/>
                          </w14:shadow>
                          <w14:textOutline w14:w="952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92D050"/>
                                </w14:gs>
                                <w14:gs w14:pos="50000">
                                  <w14:schemeClr w14:val="accent6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6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 w:rsidRPr="00660618"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12700" w14:dist="38100" w14:dir="2700000" w14:sx="100000" w14:sy="100000" w14:kx="0" w14:ky="0" w14:algn="tl">
                            <w14:schemeClr w14:val="accent4"/>
                          </w14:shadow>
                          <w14:textOutline w14:w="952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92D050"/>
                                </w14:gs>
                                <w14:gs w14:pos="50000">
                                  <w14:schemeClr w14:val="accent6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6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B4670" wp14:editId="248E6B36">
                <wp:simplePos x="0" y="0"/>
                <wp:positionH relativeFrom="column">
                  <wp:posOffset>7775575</wp:posOffset>
                </wp:positionH>
                <wp:positionV relativeFrom="paragraph">
                  <wp:posOffset>321310</wp:posOffset>
                </wp:positionV>
                <wp:extent cx="1820333" cy="1727200"/>
                <wp:effectExtent l="0" t="0" r="0" b="6350"/>
                <wp:wrapNone/>
                <wp:docPr id="160166871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333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BF8AC2" w14:textId="78E84661" w:rsidR="00660618" w:rsidRPr="00660618" w:rsidRDefault="00660618" w:rsidP="00660618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2"/>
                                </w14:shadow>
                                <w14:textOutline w14:w="9525" w14:cap="flat" w14:cmpd="sng" w14:algn="ctr">
                                  <w14:solidFill>
                                    <w14:srgbClr w14:val="92D05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C000"/>
                                      </w14:gs>
                                      <w14:gs w14:pos="5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 w:rsidRPr="00660618"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12700" w14:dist="38100" w14:dir="2700000" w14:sx="100000" w14:sy="100000" w14:kx="0" w14:ky="0" w14:algn="tl">
                                  <w14:schemeClr w14:val="accent2"/>
                                </w14:shadow>
                                <w14:textOutline w14:w="9525" w14:cap="flat" w14:cmpd="sng" w14:algn="ctr">
                                  <w14:solidFill>
                                    <w14:srgbClr w14:val="92D05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C000"/>
                                      </w14:gs>
                                      <w14:gs w14:pos="50000">
                                        <w14:schemeClr w14:val="accent2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B4670" id="_x0000_s1028" type="#_x0000_t202" style="position:absolute;left:0;text-align:left;margin-left:612.25pt;margin-top:25.3pt;width:143.35pt;height:1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" filled="f" stroked="f">
                <v:fill o:detectmouseclick="t"/>
                <v:textbox inset="5.85pt,.7pt,5.85pt,.7pt">
                  <w:txbxContent>
                    <w:p w14:paraId="72BF8AC2" w14:textId="78E84661" w:rsidR="00660618" w:rsidRPr="00660618" w:rsidRDefault="00660618" w:rsidP="00660618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2"/>
                          </w14:shadow>
                          <w14:textOutline w14:w="9525" w14:cap="flat" w14:cmpd="sng" w14:algn="ctr">
                            <w14:solidFill>
                              <w14:srgbClr w14:val="92D05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C000"/>
                                </w14:gs>
                                <w14:gs w14:pos="5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2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 w:rsidRPr="00660618"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12700" w14:dist="38100" w14:dir="2700000" w14:sx="100000" w14:sy="100000" w14:kx="0" w14:ky="0" w14:algn="tl">
                            <w14:schemeClr w14:val="accent2"/>
                          </w14:shadow>
                          <w14:textOutline w14:w="9525" w14:cap="flat" w14:cmpd="sng" w14:algn="ctr">
                            <w14:solidFill>
                              <w14:srgbClr w14:val="92D05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C000"/>
                                </w14:gs>
                                <w14:gs w14:pos="50000">
                                  <w14:schemeClr w14:val="accent2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2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5A1F69" wp14:editId="29449766">
                <wp:simplePos x="0" y="0"/>
                <wp:positionH relativeFrom="column">
                  <wp:posOffset>2971799</wp:posOffset>
                </wp:positionH>
                <wp:positionV relativeFrom="paragraph">
                  <wp:posOffset>321733</wp:posOffset>
                </wp:positionV>
                <wp:extent cx="1820333" cy="1727200"/>
                <wp:effectExtent l="0" t="0" r="0" b="6350"/>
                <wp:wrapNone/>
                <wp:docPr id="187180908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333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97A3D1" w14:textId="61F4A659" w:rsidR="00660618" w:rsidRPr="00660618" w:rsidRDefault="00660618" w:rsidP="00660618">
                            <w:pPr>
                              <w:adjustRightInd w:val="0"/>
                              <w:snapToGrid w:val="0"/>
                              <w:spacing w:line="240" w:lineRule="atLeast"/>
                              <w:jc w:val="center"/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/>
                                      </w14:gs>
                                      <w14:gs w14:pos="50000">
                                        <w14:schemeClr w14:val="accent1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 w:rsidRPr="00660618">
                              <w:rPr>
                                <w:rFonts w:ascii="HGP明朝B" w:eastAsia="HGP明朝B" w:hint="eastAsia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/>
                                      </w14:gs>
                                      <w14:gs w14:pos="50000">
                                        <w14:schemeClr w14:val="accent1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A1F69" id="_x0000_s1029" type="#_x0000_t202" style="position:absolute;left:0;text-align:left;margin-left:234pt;margin-top:25.35pt;width:143.35pt;height:1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" filled="f" stroked="f">
                <v:fill o:detectmouseclick="t"/>
                <v:textbox inset="5.85pt,.7pt,5.85pt,.7pt">
                  <w:txbxContent>
                    <w:p w14:paraId="0197A3D1" w14:textId="61F4A659" w:rsidR="00660618" w:rsidRPr="00660618" w:rsidRDefault="00660618" w:rsidP="00660618">
                      <w:pPr>
                        <w:adjustRightInd w:val="0"/>
                        <w:snapToGrid w:val="0"/>
                        <w:spacing w:line="240" w:lineRule="atLeast"/>
                        <w:jc w:val="center"/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/>
                                </w14:gs>
                                <w14:gs w14:pos="50000">
                                  <w14:schemeClr w14:val="accent1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1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 w:rsidRPr="00660618">
                        <w:rPr>
                          <w:rFonts w:ascii="HGP明朝B" w:eastAsia="HGP明朝B" w:hint="eastAsia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/>
                                </w14:gs>
                                <w14:gs w14:pos="50000">
                                  <w14:schemeClr w14:val="accent1">
                                    <w14:lumMod w14:val="60000"/>
                                    <w14:lumOff w14:val="40000"/>
                                  </w14:schemeClr>
                                </w14:gs>
                                <w14:gs w14:pos="100000">
                                  <w14:schemeClr w14:val="accent1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Ｓ</w:t>
                      </w:r>
                    </w:p>
                  </w:txbxContent>
                </v:textbox>
              </v:shape>
            </w:pict>
          </mc:Fallback>
        </mc:AlternateContent>
      </w:r>
      <w:r w:rsidR="00A90043">
        <w:rPr>
          <w:noProof/>
        </w:rPr>
        <w:drawing>
          <wp:inline distT="0" distB="0" distL="0" distR="0" wp14:anchorId="577A599C" wp14:editId="518CA574">
            <wp:extent cx="9177655" cy="6096000"/>
            <wp:effectExtent l="38100" t="0" r="23495" b="0"/>
            <wp:docPr id="1004143650" name="図表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A90043" w:rsidRPr="0011758E" w:rsidSect="00A90043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43"/>
    <w:rsid w:val="00037AB0"/>
    <w:rsid w:val="0011758E"/>
    <w:rsid w:val="004855D5"/>
    <w:rsid w:val="00660618"/>
    <w:rsid w:val="00742364"/>
    <w:rsid w:val="00A90043"/>
    <w:rsid w:val="00AE5DA9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DBA594"/>
  <w15:chartTrackingRefBased/>
  <w15:docId w15:val="{0F170CF6-3B7E-4966-A168-6F53E4D0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004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00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00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004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004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004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004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004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004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9004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9004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9004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9004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9004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900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004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900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00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900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004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9004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900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9004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900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71D15F7-FECE-41B2-8C2F-9BFAA961A11B}" type="doc">
      <dgm:prSet loTypeId="urn:microsoft.com/office/officeart/2005/8/layout/defaul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kumimoji="1" lang="ja-JP" altLang="en-US"/>
        </a:p>
      </dgm:t>
    </dgm:pt>
    <dgm:pt modelId="{38FDCEE3-0760-449A-AC9D-3C2A9BEE24E9}">
      <dgm:prSet phldrT="[テキスト]" custT="1"/>
      <dgm:spPr>
        <a:gradFill rotWithShape="0">
          <a:gsLst>
            <a:gs pos="0">
              <a:schemeClr val="accent2">
                <a:lumMod val="60000"/>
                <a:lumOff val="40000"/>
              </a:schemeClr>
            </a:gs>
            <a:gs pos="50000">
              <a:schemeClr val="accent2">
                <a:lumMod val="60000"/>
                <a:lumOff val="40000"/>
              </a:schemeClr>
            </a:gs>
            <a:gs pos="100000">
              <a:schemeClr val="accent2">
                <a:lumMod val="40000"/>
                <a:lumOff val="60000"/>
              </a:schemeClr>
            </a:gs>
          </a:gsLst>
          <a:lin ang="0" scaled="1"/>
        </a:gradFill>
      </dgm:spPr>
      <dgm:t>
        <a:bodyPr/>
        <a:lstStyle/>
        <a:p>
          <a:pPr indent="0"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3200" b="1">
              <a:solidFill>
                <a:sysClr val="windowText" lastClr="000000"/>
              </a:solidFill>
            </a:rPr>
            <a:t>強み</a:t>
          </a:r>
          <a:endParaRPr lang="en-US" altLang="ja-JP" sz="3200" b="1">
            <a:solidFill>
              <a:sysClr val="windowText" lastClr="000000"/>
            </a:solidFill>
          </a:endParaRPr>
        </a:p>
        <a:p>
          <a:pPr indent="0"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・データ蓄積と活用ノウハウ</a:t>
          </a:r>
        </a:p>
        <a:p>
          <a:pPr indent="0"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・特定業務における効率化実績</a:t>
          </a:r>
        </a:p>
        <a:p>
          <a:pPr indent="0"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・初期段階での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人材育成</a:t>
          </a:r>
          <a:endParaRPr lang="en-US" altLang="ja-JP" sz="1600" b="1">
            <a:solidFill>
              <a:sysClr val="windowText" lastClr="000000"/>
            </a:solidFill>
          </a:endParaRPr>
        </a:p>
      </dgm:t>
    </dgm:pt>
    <dgm:pt modelId="{697F5D1B-1610-4A96-A043-9E95B809403B}" type="parTrans" cxnId="{DFF95002-118B-4399-A4CD-DFEF8CBC56C8}">
      <dgm:prSet/>
      <dgm:spPr/>
      <dgm:t>
        <a:bodyPr/>
        <a:lstStyle/>
        <a:p>
          <a:endParaRPr kumimoji="1" lang="ja-JP" altLang="en-US"/>
        </a:p>
      </dgm:t>
    </dgm:pt>
    <dgm:pt modelId="{0089C697-6559-4407-AFEE-42C735925B6D}" type="sibTrans" cxnId="{DFF95002-118B-4399-A4CD-DFEF8CBC56C8}">
      <dgm:prSet/>
      <dgm:spPr/>
      <dgm:t>
        <a:bodyPr/>
        <a:lstStyle/>
        <a:p>
          <a:endParaRPr kumimoji="1" lang="ja-JP" altLang="en-US"/>
        </a:p>
      </dgm:t>
    </dgm:pt>
    <dgm:pt modelId="{D1A05005-F0B4-4917-A422-A3040ACB5DF9}">
      <dgm:prSet phldrT="[テキスト]" custT="1"/>
      <dgm:spPr>
        <a:gradFill rotWithShape="0">
          <a:gsLst>
            <a:gs pos="0">
              <a:srgbClr val="92D050"/>
            </a:gs>
            <a:gs pos="50000">
              <a:schemeClr val="accent6">
                <a:lumMod val="60000"/>
                <a:lumOff val="40000"/>
              </a:schemeClr>
            </a:gs>
            <a:gs pos="100000">
              <a:schemeClr val="accent6">
                <a:lumMod val="40000"/>
                <a:lumOff val="60000"/>
              </a:schemeClr>
            </a:gs>
          </a:gsLst>
          <a:lin ang="0" scaled="1"/>
        </a:gradFill>
      </dgm:spPr>
      <dgm:t>
        <a:bodyPr/>
        <a:lstStyle/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3200" b="1">
              <a:solidFill>
                <a:sysClr val="windowText" lastClr="000000"/>
              </a:solidFill>
            </a:rPr>
            <a:t>弱み</a:t>
          </a:r>
          <a:endParaRPr lang="en-US" altLang="ja-JP" sz="3200" b="1">
            <a:solidFill>
              <a:sysClr val="windowText" lastClr="000000"/>
            </a:solidFill>
          </a:endParaRP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導入・運用コストの不確実性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・既存システムとの連携課題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・全社的な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リテラシー不足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</a:t>
          </a:r>
          <a:r>
            <a:rPr lang="en-US" sz="1600" b="1">
              <a:solidFill>
                <a:sysClr val="windowText" lastClr="000000"/>
              </a:solidFill>
            </a:rPr>
            <a:t>PoC</a:t>
          </a:r>
          <a:r>
            <a:rPr lang="ja-JP" altLang="en-US" sz="1600" b="1">
              <a:solidFill>
                <a:sysClr val="windowText" lastClr="000000"/>
              </a:solidFill>
            </a:rPr>
            <a:t>段階からのスケールアップの難しさ</a:t>
          </a:r>
          <a:endParaRPr lang="en-US" altLang="ja-JP" sz="1600" b="1">
            <a:solidFill>
              <a:sysClr val="windowText" lastClr="000000"/>
            </a:solidFill>
          </a:endParaRPr>
        </a:p>
      </dgm:t>
    </dgm:pt>
    <dgm:pt modelId="{3A18DEEA-53AC-40E9-901F-A6616C570FF5}" type="parTrans" cxnId="{327B1FFA-BAF1-4820-96AD-F9C4A24502F8}">
      <dgm:prSet/>
      <dgm:spPr/>
      <dgm:t>
        <a:bodyPr/>
        <a:lstStyle/>
        <a:p>
          <a:endParaRPr kumimoji="1" lang="ja-JP" altLang="en-US"/>
        </a:p>
      </dgm:t>
    </dgm:pt>
    <dgm:pt modelId="{59181391-857D-4E37-800F-6C14484B0202}" type="sibTrans" cxnId="{327B1FFA-BAF1-4820-96AD-F9C4A24502F8}">
      <dgm:prSet/>
      <dgm:spPr/>
      <dgm:t>
        <a:bodyPr/>
        <a:lstStyle/>
        <a:p>
          <a:endParaRPr kumimoji="1" lang="ja-JP" altLang="en-US"/>
        </a:p>
      </dgm:t>
    </dgm:pt>
    <dgm:pt modelId="{B43FE5A8-03EC-400A-90C0-3FE348076EB9}">
      <dgm:prSet phldrT="[テキスト]" custT="1"/>
      <dgm:spPr>
        <a:gradFill rotWithShape="0">
          <a:gsLst>
            <a:gs pos="0">
              <a:srgbClr val="FFC000"/>
            </a:gs>
            <a:gs pos="50000">
              <a:schemeClr val="accent4">
                <a:lumMod val="60000"/>
                <a:lumOff val="40000"/>
              </a:schemeClr>
            </a:gs>
            <a:gs pos="100000">
              <a:schemeClr val="accent4">
                <a:lumMod val="20000"/>
                <a:lumOff val="80000"/>
              </a:schemeClr>
            </a:gs>
          </a:gsLst>
          <a:lin ang="0" scaled="1"/>
        </a:gradFill>
      </dgm:spPr>
      <dgm:t>
        <a:bodyPr/>
        <a:lstStyle/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3200" b="1">
              <a:solidFill>
                <a:sysClr val="windowText" lastClr="000000"/>
              </a:solidFill>
            </a:rPr>
            <a:t>機会</a:t>
          </a:r>
          <a:endParaRPr lang="en-US" altLang="ja-JP" sz="3200" b="1">
            <a:solidFill>
              <a:sysClr val="windowText" lastClr="000000"/>
            </a:solidFill>
          </a:endParaRP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kumimoji="1" lang="ja-JP" altLang="en-US" sz="1600" b="1">
              <a:solidFill>
                <a:sysClr val="windowText" lastClr="000000"/>
              </a:solidFill>
            </a:rPr>
            <a:t>・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技術の進化と低コスト化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・競合他社の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導入事例の増加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・政府の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導入支援策や補助金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・新規事業創出の可能性</a:t>
          </a:r>
          <a:endParaRPr kumimoji="1" lang="ja-JP" altLang="en-US" sz="1600" b="1">
            <a:solidFill>
              <a:sysClr val="windowText" lastClr="000000"/>
            </a:solidFill>
          </a:endParaRPr>
        </a:p>
      </dgm:t>
    </dgm:pt>
    <dgm:pt modelId="{B469CBF2-8E18-4033-8285-54308C453699}" type="parTrans" cxnId="{70100511-A0DD-4CAA-93C0-F7E066B96A16}">
      <dgm:prSet/>
      <dgm:spPr/>
      <dgm:t>
        <a:bodyPr/>
        <a:lstStyle/>
        <a:p>
          <a:endParaRPr kumimoji="1" lang="ja-JP" altLang="en-US"/>
        </a:p>
      </dgm:t>
    </dgm:pt>
    <dgm:pt modelId="{59D192DE-A470-475E-9D9F-86AF4DFACA3F}" type="sibTrans" cxnId="{70100511-A0DD-4CAA-93C0-F7E066B96A16}">
      <dgm:prSet/>
      <dgm:spPr/>
      <dgm:t>
        <a:bodyPr/>
        <a:lstStyle/>
        <a:p>
          <a:endParaRPr kumimoji="1" lang="ja-JP" altLang="en-US"/>
        </a:p>
      </dgm:t>
    </dgm:pt>
    <dgm:pt modelId="{6D479489-B0A2-4A1D-A59B-967238676569}">
      <dgm:prSet phldrT="[テキスト]" custT="1"/>
      <dgm:spPr>
        <a:gradFill rotWithShape="0">
          <a:gsLst>
            <a:gs pos="0">
              <a:schemeClr val="accent5"/>
            </a:gs>
            <a:gs pos="50000">
              <a:schemeClr val="accent5">
                <a:lumMod val="60000"/>
                <a:lumOff val="40000"/>
              </a:schemeClr>
            </a:gs>
            <a:gs pos="100000">
              <a:schemeClr val="accent5">
                <a:lumMod val="40000"/>
                <a:lumOff val="60000"/>
              </a:schemeClr>
            </a:gs>
          </a:gsLst>
          <a:lin ang="0" scaled="1"/>
        </a:gradFill>
      </dgm:spPr>
      <dgm:t>
        <a:bodyPr/>
        <a:lstStyle/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3200" b="1">
              <a:solidFill>
                <a:sysClr val="windowText" lastClr="000000"/>
              </a:solidFill>
            </a:rPr>
            <a:t>脅威</a:t>
          </a:r>
          <a:endParaRPr lang="en-US" altLang="ja-JP" sz="3200" b="1">
            <a:solidFill>
              <a:sysClr val="windowText" lastClr="000000"/>
            </a:solidFill>
          </a:endParaRP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kumimoji="1" lang="ja-JP" altLang="en-US" sz="1600" b="1">
              <a:solidFill>
                <a:sysClr val="windowText" lastClr="000000"/>
              </a:solidFill>
            </a:rPr>
            <a:t>・</a:t>
          </a:r>
          <a:r>
            <a:rPr lang="ja-JP" altLang="en-US" sz="1600" b="1">
              <a:solidFill>
                <a:sysClr val="windowText" lastClr="000000"/>
              </a:solidFill>
            </a:rPr>
            <a:t>既存業務プロセスの陳腐化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・セキュリティリスクの増大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・法規制や倫理的な問題</a:t>
          </a:r>
        </a:p>
        <a:p>
          <a:pPr algn="l">
            <a:lnSpc>
              <a:spcPct val="100000"/>
            </a:lnSpc>
            <a:spcAft>
              <a:spcPts val="0"/>
            </a:spcAft>
            <a:buNone/>
          </a:pPr>
          <a:r>
            <a:rPr lang="ja-JP" altLang="en-US" sz="1600" b="1">
              <a:solidFill>
                <a:sysClr val="windowText" lastClr="000000"/>
              </a:solidFill>
            </a:rPr>
            <a:t>・</a:t>
          </a:r>
          <a:r>
            <a:rPr lang="en-US" sz="1600" b="1">
              <a:solidFill>
                <a:sysClr val="windowText" lastClr="000000"/>
              </a:solidFill>
            </a:rPr>
            <a:t>AI</a:t>
          </a:r>
          <a:r>
            <a:rPr lang="ja-JP" altLang="en-US" sz="1600" b="1">
              <a:solidFill>
                <a:sysClr val="windowText" lastClr="000000"/>
              </a:solidFill>
            </a:rPr>
            <a:t>による代替への従業員の抵抗</a:t>
          </a:r>
          <a:endParaRPr kumimoji="1" lang="ja-JP" altLang="en-US" sz="1600" b="1">
            <a:solidFill>
              <a:sysClr val="windowText" lastClr="000000"/>
            </a:solidFill>
          </a:endParaRPr>
        </a:p>
      </dgm:t>
    </dgm:pt>
    <dgm:pt modelId="{087ABF9A-D89A-4DFE-BB9A-4AF5E5D8D770}" type="parTrans" cxnId="{0851FE08-5D25-4D24-954C-04ECF5B2F606}">
      <dgm:prSet/>
      <dgm:spPr/>
      <dgm:t>
        <a:bodyPr/>
        <a:lstStyle/>
        <a:p>
          <a:endParaRPr kumimoji="1" lang="ja-JP" altLang="en-US"/>
        </a:p>
      </dgm:t>
    </dgm:pt>
    <dgm:pt modelId="{8035EDE5-3F99-463D-A5A1-6C5B2C1AB7DD}" type="sibTrans" cxnId="{0851FE08-5D25-4D24-954C-04ECF5B2F606}">
      <dgm:prSet/>
      <dgm:spPr/>
      <dgm:t>
        <a:bodyPr/>
        <a:lstStyle/>
        <a:p>
          <a:endParaRPr kumimoji="1" lang="ja-JP" altLang="en-US"/>
        </a:p>
      </dgm:t>
    </dgm:pt>
    <dgm:pt modelId="{BE4161C8-6311-4422-919E-0AF8656B47CB}" type="pres">
      <dgm:prSet presAssocID="{C71D15F7-FECE-41B2-8C2F-9BFAA961A11B}" presName="diagram" presStyleCnt="0">
        <dgm:presLayoutVars>
          <dgm:dir/>
          <dgm:resizeHandles val="exact"/>
        </dgm:presLayoutVars>
      </dgm:prSet>
      <dgm:spPr/>
    </dgm:pt>
    <dgm:pt modelId="{3C51B635-3C0C-4FBF-BABD-7B7D0139E59E}" type="pres">
      <dgm:prSet presAssocID="{38FDCEE3-0760-449A-AC9D-3C2A9BEE24E9}" presName="node" presStyleLbl="node1" presStyleIdx="0" presStyleCnt="4">
        <dgm:presLayoutVars>
          <dgm:bulletEnabled val="1"/>
        </dgm:presLayoutVars>
      </dgm:prSet>
      <dgm:spPr/>
    </dgm:pt>
    <dgm:pt modelId="{3920DEE0-07B0-4603-B991-5D6F0BBEF353}" type="pres">
      <dgm:prSet presAssocID="{0089C697-6559-4407-AFEE-42C735925B6D}" presName="sibTrans" presStyleCnt="0"/>
      <dgm:spPr/>
    </dgm:pt>
    <dgm:pt modelId="{1F7BC6EF-8E7C-41C7-A99F-6FA718CE47C8}" type="pres">
      <dgm:prSet presAssocID="{D1A05005-F0B4-4917-A422-A3040ACB5DF9}" presName="node" presStyleLbl="node1" presStyleIdx="1" presStyleCnt="4">
        <dgm:presLayoutVars>
          <dgm:bulletEnabled val="1"/>
        </dgm:presLayoutVars>
      </dgm:prSet>
      <dgm:spPr/>
    </dgm:pt>
    <dgm:pt modelId="{66E6FCE1-3FF0-463F-8273-6C4C4B9601EE}" type="pres">
      <dgm:prSet presAssocID="{59181391-857D-4E37-800F-6C14484B0202}" presName="sibTrans" presStyleCnt="0"/>
      <dgm:spPr/>
    </dgm:pt>
    <dgm:pt modelId="{BE3DE573-FDA0-40BE-8C68-98BD5C8B213A}" type="pres">
      <dgm:prSet presAssocID="{B43FE5A8-03EC-400A-90C0-3FE348076EB9}" presName="node" presStyleLbl="node1" presStyleIdx="2" presStyleCnt="4">
        <dgm:presLayoutVars>
          <dgm:bulletEnabled val="1"/>
        </dgm:presLayoutVars>
      </dgm:prSet>
      <dgm:spPr/>
    </dgm:pt>
    <dgm:pt modelId="{1E4F89E5-1DFB-4D3D-A34D-E8159B0FB0AD}" type="pres">
      <dgm:prSet presAssocID="{59D192DE-A470-475E-9D9F-86AF4DFACA3F}" presName="sibTrans" presStyleCnt="0"/>
      <dgm:spPr/>
    </dgm:pt>
    <dgm:pt modelId="{7FEEA8DE-AA35-49A9-8018-49FE4CD6EA0B}" type="pres">
      <dgm:prSet presAssocID="{6D479489-B0A2-4A1D-A59B-967238676569}" presName="node" presStyleLbl="node1" presStyleIdx="3" presStyleCnt="4">
        <dgm:presLayoutVars>
          <dgm:bulletEnabled val="1"/>
        </dgm:presLayoutVars>
      </dgm:prSet>
      <dgm:spPr/>
    </dgm:pt>
  </dgm:ptLst>
  <dgm:cxnLst>
    <dgm:cxn modelId="{DFF95002-118B-4399-A4CD-DFEF8CBC56C8}" srcId="{C71D15F7-FECE-41B2-8C2F-9BFAA961A11B}" destId="{38FDCEE3-0760-449A-AC9D-3C2A9BEE24E9}" srcOrd="0" destOrd="0" parTransId="{697F5D1B-1610-4A96-A043-9E95B809403B}" sibTransId="{0089C697-6559-4407-AFEE-42C735925B6D}"/>
    <dgm:cxn modelId="{0851FE08-5D25-4D24-954C-04ECF5B2F606}" srcId="{C71D15F7-FECE-41B2-8C2F-9BFAA961A11B}" destId="{6D479489-B0A2-4A1D-A59B-967238676569}" srcOrd="3" destOrd="0" parTransId="{087ABF9A-D89A-4DFE-BB9A-4AF5E5D8D770}" sibTransId="{8035EDE5-3F99-463D-A5A1-6C5B2C1AB7DD}"/>
    <dgm:cxn modelId="{70100511-A0DD-4CAA-93C0-F7E066B96A16}" srcId="{C71D15F7-FECE-41B2-8C2F-9BFAA961A11B}" destId="{B43FE5A8-03EC-400A-90C0-3FE348076EB9}" srcOrd="2" destOrd="0" parTransId="{B469CBF2-8E18-4033-8285-54308C453699}" sibTransId="{59D192DE-A470-475E-9D9F-86AF4DFACA3F}"/>
    <dgm:cxn modelId="{51F0A139-D630-451A-82CD-48D9BE5DB0CD}" type="presOf" srcId="{6D479489-B0A2-4A1D-A59B-967238676569}" destId="{7FEEA8DE-AA35-49A9-8018-49FE4CD6EA0B}" srcOrd="0" destOrd="0" presId="urn:microsoft.com/office/officeart/2005/8/layout/default"/>
    <dgm:cxn modelId="{F433A85D-9954-4977-99A7-525FD5C31498}" type="presOf" srcId="{D1A05005-F0B4-4917-A422-A3040ACB5DF9}" destId="{1F7BC6EF-8E7C-41C7-A99F-6FA718CE47C8}" srcOrd="0" destOrd="0" presId="urn:microsoft.com/office/officeart/2005/8/layout/default"/>
    <dgm:cxn modelId="{72793A8B-72F5-415B-867D-9C3D2A08D13C}" type="presOf" srcId="{38FDCEE3-0760-449A-AC9D-3C2A9BEE24E9}" destId="{3C51B635-3C0C-4FBF-BABD-7B7D0139E59E}" srcOrd="0" destOrd="0" presId="urn:microsoft.com/office/officeart/2005/8/layout/default"/>
    <dgm:cxn modelId="{88F3ADC3-5C56-4A6A-B37B-4119F9EC6327}" type="presOf" srcId="{B43FE5A8-03EC-400A-90C0-3FE348076EB9}" destId="{BE3DE573-FDA0-40BE-8C68-98BD5C8B213A}" srcOrd="0" destOrd="0" presId="urn:microsoft.com/office/officeart/2005/8/layout/default"/>
    <dgm:cxn modelId="{667D35F0-9F8A-4B46-A0BB-82B66B0133AD}" type="presOf" srcId="{C71D15F7-FECE-41B2-8C2F-9BFAA961A11B}" destId="{BE4161C8-6311-4422-919E-0AF8656B47CB}" srcOrd="0" destOrd="0" presId="urn:microsoft.com/office/officeart/2005/8/layout/default"/>
    <dgm:cxn modelId="{327B1FFA-BAF1-4820-96AD-F9C4A24502F8}" srcId="{C71D15F7-FECE-41B2-8C2F-9BFAA961A11B}" destId="{D1A05005-F0B4-4917-A422-A3040ACB5DF9}" srcOrd="1" destOrd="0" parTransId="{3A18DEEA-53AC-40E9-901F-A6616C570FF5}" sibTransId="{59181391-857D-4E37-800F-6C14484B0202}"/>
    <dgm:cxn modelId="{0757A9B0-B304-4A3A-A77E-8DE705C220C0}" type="presParOf" srcId="{BE4161C8-6311-4422-919E-0AF8656B47CB}" destId="{3C51B635-3C0C-4FBF-BABD-7B7D0139E59E}" srcOrd="0" destOrd="0" presId="urn:microsoft.com/office/officeart/2005/8/layout/default"/>
    <dgm:cxn modelId="{66757E13-D6EB-4075-AA54-D90B4942F2CA}" type="presParOf" srcId="{BE4161C8-6311-4422-919E-0AF8656B47CB}" destId="{3920DEE0-07B0-4603-B991-5D6F0BBEF353}" srcOrd="1" destOrd="0" presId="urn:microsoft.com/office/officeart/2005/8/layout/default"/>
    <dgm:cxn modelId="{5E6A3D3E-CFE2-4C9A-B9DF-58EA9F104BC6}" type="presParOf" srcId="{BE4161C8-6311-4422-919E-0AF8656B47CB}" destId="{1F7BC6EF-8E7C-41C7-A99F-6FA718CE47C8}" srcOrd="2" destOrd="0" presId="urn:microsoft.com/office/officeart/2005/8/layout/default"/>
    <dgm:cxn modelId="{A890E9CD-1FE9-451E-BA7D-42316E40946F}" type="presParOf" srcId="{BE4161C8-6311-4422-919E-0AF8656B47CB}" destId="{66E6FCE1-3FF0-463F-8273-6C4C4B9601EE}" srcOrd="3" destOrd="0" presId="urn:microsoft.com/office/officeart/2005/8/layout/default"/>
    <dgm:cxn modelId="{00AA31A3-4B1F-4266-895E-936DF28A2FAD}" type="presParOf" srcId="{BE4161C8-6311-4422-919E-0AF8656B47CB}" destId="{BE3DE573-FDA0-40BE-8C68-98BD5C8B213A}" srcOrd="4" destOrd="0" presId="urn:microsoft.com/office/officeart/2005/8/layout/default"/>
    <dgm:cxn modelId="{DBF342F5-2551-4040-AA60-49F96DFDB566}" type="presParOf" srcId="{BE4161C8-6311-4422-919E-0AF8656B47CB}" destId="{1E4F89E5-1DFB-4D3D-A34D-E8159B0FB0AD}" srcOrd="5" destOrd="0" presId="urn:microsoft.com/office/officeart/2005/8/layout/default"/>
    <dgm:cxn modelId="{F91688D1-F02F-4B57-8685-6EAFCECA1DB9}" type="presParOf" srcId="{BE4161C8-6311-4422-919E-0AF8656B47CB}" destId="{7FEEA8DE-AA35-49A9-8018-49FE4CD6EA0B}" srcOrd="6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C51B635-3C0C-4FBF-BABD-7B7D0139E59E}">
      <dsp:nvSpPr>
        <dsp:cNvPr id="0" name=""/>
        <dsp:cNvSpPr/>
      </dsp:nvSpPr>
      <dsp:spPr>
        <a:xfrm>
          <a:off x="1120" y="207990"/>
          <a:ext cx="4369244" cy="2621546"/>
        </a:xfrm>
        <a:prstGeom prst="rect">
          <a:avLst/>
        </a:prstGeom>
        <a:gradFill rotWithShape="0">
          <a:gsLst>
            <a:gs pos="0">
              <a:schemeClr val="accent2">
                <a:lumMod val="60000"/>
                <a:lumOff val="40000"/>
              </a:schemeClr>
            </a:gs>
            <a:gs pos="50000">
              <a:schemeClr val="accent2">
                <a:lumMod val="60000"/>
                <a:lumOff val="40000"/>
              </a:schemeClr>
            </a:gs>
            <a:gs pos="100000">
              <a:schemeClr val="accent2">
                <a:lumMod val="40000"/>
                <a:lumOff val="60000"/>
              </a:schemeClr>
            </a:gs>
          </a:gsLst>
          <a:lin ang="0" scaled="1"/>
        </a:gra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3200" b="1" kern="1200">
              <a:solidFill>
                <a:sysClr val="windowText" lastClr="000000"/>
              </a:solidFill>
            </a:rPr>
            <a:t>強み</a:t>
          </a:r>
          <a:endParaRPr lang="en-US" altLang="ja-JP" sz="3200" b="1" kern="1200">
            <a:solidFill>
              <a:sysClr val="windowText" lastClr="000000"/>
            </a:solidFill>
          </a:endParaRP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・データ蓄積と活用ノウハウ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・特定業務における効率化実績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・初期段階での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人材育成</a:t>
          </a:r>
          <a:endParaRPr lang="en-US" altLang="ja-JP" sz="1600" b="1" kern="1200">
            <a:solidFill>
              <a:sysClr val="windowText" lastClr="000000"/>
            </a:solidFill>
          </a:endParaRPr>
        </a:p>
      </dsp:txBody>
      <dsp:txXfrm>
        <a:off x="1120" y="207990"/>
        <a:ext cx="4369244" cy="2621546"/>
      </dsp:txXfrm>
    </dsp:sp>
    <dsp:sp modelId="{1F7BC6EF-8E7C-41C7-A99F-6FA718CE47C8}">
      <dsp:nvSpPr>
        <dsp:cNvPr id="0" name=""/>
        <dsp:cNvSpPr/>
      </dsp:nvSpPr>
      <dsp:spPr>
        <a:xfrm>
          <a:off x="4807289" y="207990"/>
          <a:ext cx="4369244" cy="2621546"/>
        </a:xfrm>
        <a:prstGeom prst="rect">
          <a:avLst/>
        </a:prstGeom>
        <a:gradFill rotWithShape="0">
          <a:gsLst>
            <a:gs pos="0">
              <a:srgbClr val="92D050"/>
            </a:gs>
            <a:gs pos="50000">
              <a:schemeClr val="accent6">
                <a:lumMod val="60000"/>
                <a:lumOff val="40000"/>
              </a:schemeClr>
            </a:gs>
            <a:gs pos="100000">
              <a:schemeClr val="accent6">
                <a:lumMod val="40000"/>
                <a:lumOff val="60000"/>
              </a:schemeClr>
            </a:gs>
          </a:gsLst>
          <a:lin ang="0" scaled="1"/>
        </a:gra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3200" b="1" kern="1200">
              <a:solidFill>
                <a:sysClr val="windowText" lastClr="000000"/>
              </a:solidFill>
            </a:rPr>
            <a:t>弱み</a:t>
          </a:r>
          <a:endParaRPr lang="en-US" altLang="ja-JP" sz="3200" b="1" kern="1200">
            <a:solidFill>
              <a:sysClr val="windowText" lastClr="000000"/>
            </a:solidFill>
          </a:endParaRP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導入・運用コストの不確実性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・既存システムとの連携課題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・全社的な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リテラシー不足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</a:t>
          </a:r>
          <a:r>
            <a:rPr lang="en-US" sz="1600" b="1" kern="1200">
              <a:solidFill>
                <a:sysClr val="windowText" lastClr="000000"/>
              </a:solidFill>
            </a:rPr>
            <a:t>PoC</a:t>
          </a:r>
          <a:r>
            <a:rPr lang="ja-JP" altLang="en-US" sz="1600" b="1" kern="1200">
              <a:solidFill>
                <a:sysClr val="windowText" lastClr="000000"/>
              </a:solidFill>
            </a:rPr>
            <a:t>段階からのスケールアップの難しさ</a:t>
          </a:r>
          <a:endParaRPr lang="en-US" altLang="ja-JP" sz="1600" b="1" kern="1200">
            <a:solidFill>
              <a:sysClr val="windowText" lastClr="000000"/>
            </a:solidFill>
          </a:endParaRPr>
        </a:p>
      </dsp:txBody>
      <dsp:txXfrm>
        <a:off x="4807289" y="207990"/>
        <a:ext cx="4369244" cy="2621546"/>
      </dsp:txXfrm>
    </dsp:sp>
    <dsp:sp modelId="{BE3DE573-FDA0-40BE-8C68-98BD5C8B213A}">
      <dsp:nvSpPr>
        <dsp:cNvPr id="0" name=""/>
        <dsp:cNvSpPr/>
      </dsp:nvSpPr>
      <dsp:spPr>
        <a:xfrm>
          <a:off x="1120" y="3266462"/>
          <a:ext cx="4369244" cy="2621546"/>
        </a:xfrm>
        <a:prstGeom prst="rect">
          <a:avLst/>
        </a:prstGeom>
        <a:gradFill rotWithShape="0">
          <a:gsLst>
            <a:gs pos="0">
              <a:srgbClr val="FFC000"/>
            </a:gs>
            <a:gs pos="50000">
              <a:schemeClr val="accent4">
                <a:lumMod val="60000"/>
                <a:lumOff val="40000"/>
              </a:schemeClr>
            </a:gs>
            <a:gs pos="100000">
              <a:schemeClr val="accent4">
                <a:lumMod val="20000"/>
                <a:lumOff val="80000"/>
              </a:schemeClr>
            </a:gs>
          </a:gsLst>
          <a:lin ang="0" scaled="1"/>
        </a:gra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3200" b="1" kern="1200">
              <a:solidFill>
                <a:sysClr val="windowText" lastClr="000000"/>
              </a:solidFill>
            </a:rPr>
            <a:t>機会</a:t>
          </a:r>
          <a:endParaRPr lang="en-US" altLang="ja-JP" sz="3200" b="1" kern="1200">
            <a:solidFill>
              <a:sysClr val="windowText" lastClr="000000"/>
            </a:solidFill>
          </a:endParaRP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kumimoji="1" lang="ja-JP" altLang="en-US" sz="1600" b="1" kern="1200">
              <a:solidFill>
                <a:sysClr val="windowText" lastClr="000000"/>
              </a:solidFill>
            </a:rPr>
            <a:t>・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技術の進化と低コスト化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・競合他社の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導入事例の増加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・政府の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導入支援策や補助金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・新規事業創出の可能性</a:t>
          </a:r>
          <a:endParaRPr kumimoji="1" lang="ja-JP" altLang="en-US" sz="1600" b="1" kern="1200">
            <a:solidFill>
              <a:sysClr val="windowText" lastClr="000000"/>
            </a:solidFill>
          </a:endParaRPr>
        </a:p>
      </dsp:txBody>
      <dsp:txXfrm>
        <a:off x="1120" y="3266462"/>
        <a:ext cx="4369244" cy="2621546"/>
      </dsp:txXfrm>
    </dsp:sp>
    <dsp:sp modelId="{7FEEA8DE-AA35-49A9-8018-49FE4CD6EA0B}">
      <dsp:nvSpPr>
        <dsp:cNvPr id="0" name=""/>
        <dsp:cNvSpPr/>
      </dsp:nvSpPr>
      <dsp:spPr>
        <a:xfrm>
          <a:off x="4807289" y="3266462"/>
          <a:ext cx="4369244" cy="2621546"/>
        </a:xfrm>
        <a:prstGeom prst="rect">
          <a:avLst/>
        </a:prstGeom>
        <a:gradFill rotWithShape="0">
          <a:gsLst>
            <a:gs pos="0">
              <a:schemeClr val="accent5"/>
            </a:gs>
            <a:gs pos="50000">
              <a:schemeClr val="accent5">
                <a:lumMod val="60000"/>
                <a:lumOff val="40000"/>
              </a:schemeClr>
            </a:gs>
            <a:gs pos="100000">
              <a:schemeClr val="accent5">
                <a:lumMod val="40000"/>
                <a:lumOff val="60000"/>
              </a:schemeClr>
            </a:gs>
          </a:gsLst>
          <a:lin ang="0" scaled="1"/>
        </a:gra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3200" b="1" kern="1200">
              <a:solidFill>
                <a:sysClr val="windowText" lastClr="000000"/>
              </a:solidFill>
            </a:rPr>
            <a:t>脅威</a:t>
          </a:r>
          <a:endParaRPr lang="en-US" altLang="ja-JP" sz="3200" b="1" kern="1200">
            <a:solidFill>
              <a:sysClr val="windowText" lastClr="000000"/>
            </a:solidFill>
          </a:endParaRP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kumimoji="1" lang="ja-JP" altLang="en-US" sz="1600" b="1" kern="1200">
              <a:solidFill>
                <a:sysClr val="windowText" lastClr="000000"/>
              </a:solidFill>
            </a:rPr>
            <a:t>・</a:t>
          </a:r>
          <a:r>
            <a:rPr lang="ja-JP" altLang="en-US" sz="1600" b="1" kern="1200">
              <a:solidFill>
                <a:sysClr val="windowText" lastClr="000000"/>
              </a:solidFill>
            </a:rPr>
            <a:t>既存業務プロセスの陳腐化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・セキュリティリスクの増大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・法規制や倫理的な問題</a:t>
          </a:r>
        </a:p>
        <a:p>
          <a:pPr marL="0" lvl="0" indent="0" algn="l" defTabSz="1422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ja-JP" altLang="en-US" sz="1600" b="1" kern="1200">
              <a:solidFill>
                <a:sysClr val="windowText" lastClr="000000"/>
              </a:solidFill>
            </a:rPr>
            <a:t>・</a:t>
          </a:r>
          <a:r>
            <a:rPr lang="en-US" sz="1600" b="1" kern="1200">
              <a:solidFill>
                <a:sysClr val="windowText" lastClr="000000"/>
              </a:solidFill>
            </a:rPr>
            <a:t>AI</a:t>
          </a:r>
          <a:r>
            <a:rPr lang="ja-JP" altLang="en-US" sz="1600" b="1" kern="1200">
              <a:solidFill>
                <a:sysClr val="windowText" lastClr="000000"/>
              </a:solidFill>
            </a:rPr>
            <a:t>による代替への従業員の抵抗</a:t>
          </a:r>
          <a:endParaRPr kumimoji="1" lang="ja-JP" altLang="en-US" sz="1600" b="1" kern="1200">
            <a:solidFill>
              <a:sysClr val="windowText" lastClr="000000"/>
            </a:solidFill>
          </a:endParaRPr>
        </a:p>
      </dsp:txBody>
      <dsp:txXfrm>
        <a:off x="4807289" y="3266462"/>
        <a:ext cx="4369244" cy="26215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B1E5D-9EF1-43D1-B8C6-3D2538C86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2025-12-30T21:30:00Z</dcterms:created>
  <dcterms:modified xsi:type="dcterms:W3CDTF">2025-12-30T22:00:00Z</dcterms:modified>
</cp:coreProperties>
</file>